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C77" w:rsidRPr="00B40C77" w:rsidRDefault="00B40C77" w:rsidP="00B40C77">
      <w:pPr>
        <w:ind w:firstLine="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40C77">
        <w:rPr>
          <w:rFonts w:ascii="Times New Roman" w:hAnsi="Times New Roman" w:cs="Times New Roman"/>
          <w:b/>
          <w:sz w:val="36"/>
          <w:szCs w:val="36"/>
        </w:rPr>
        <w:t>Немцы — один из народов края.</w:t>
      </w:r>
    </w:p>
    <w:p w:rsidR="00B40C77" w:rsidRP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0C77">
        <w:rPr>
          <w:rFonts w:ascii="Times New Roman" w:hAnsi="Times New Roman" w:cs="Times New Roman"/>
          <w:sz w:val="28"/>
          <w:szCs w:val="28"/>
        </w:rPr>
        <w:t xml:space="preserve">Немцы — один из народов, исторически связанных с Алтайским краем: первые представители общины появились здесь ещё в XVIII веке — это были специалисты, работавшие на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Колывано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noBreakHyphen/>
        <w:t xml:space="preserve">Воскресенских заводах, а в конце XIX — начале XX века на Алтай массово переселялись немецкие крестьяне, осваивавшие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Кулундинскую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 xml:space="preserve"> степь и основавшие такие сёла, как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Подсосново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Гальбштадт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>; особый этап истории общины связан с депортацией 1941 года, когда в край прибыло около 95 тысяч немцев из Поволжья.</w:t>
      </w: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0C77">
        <w:rPr>
          <w:rFonts w:ascii="Times New Roman" w:hAnsi="Times New Roman" w:cs="Times New Roman"/>
          <w:sz w:val="28"/>
          <w:szCs w:val="28"/>
        </w:rPr>
        <w:t xml:space="preserve">Сегодня культурное наследие российских немцев сохраняется в Немецком национальном районе с центром в селе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Гальбштадт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>, а также в Барнауле, где действует Центр немецкой культуры: проводятся национальные праздники, включая традиционное празднование Рождества (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Weihnachten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>), работают фольклорные коллективы, популяризируется кухня (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кухен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ривелькухен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штрудель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>), а музеи и этнографические проекты знакомят с бытом, ремёслами и историей общин.</w:t>
      </w: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0C7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66AC55D" wp14:editId="29226DA8">
            <wp:simplePos x="0" y="0"/>
            <wp:positionH relativeFrom="margin">
              <wp:align>left</wp:align>
            </wp:positionH>
            <wp:positionV relativeFrom="paragraph">
              <wp:posOffset>1074236</wp:posOffset>
            </wp:positionV>
            <wp:extent cx="5956935" cy="3954780"/>
            <wp:effectExtent l="0" t="0" r="5715" b="7620"/>
            <wp:wrapTight wrapText="bothSides">
              <wp:wrapPolygon edited="0">
                <wp:start x="0" y="0"/>
                <wp:lineTo x="0" y="21538"/>
                <wp:lineTo x="21552" y="21538"/>
                <wp:lineTo x="21552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93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C77">
        <w:rPr>
          <w:rFonts w:ascii="Times New Roman" w:hAnsi="Times New Roman" w:cs="Times New Roman"/>
          <w:b/>
          <w:bCs/>
          <w:sz w:val="28"/>
          <w:szCs w:val="28"/>
        </w:rPr>
        <w:t xml:space="preserve">Село </w:t>
      </w:r>
      <w:proofErr w:type="spellStart"/>
      <w:r w:rsidRPr="00B40C77">
        <w:rPr>
          <w:rFonts w:ascii="Times New Roman" w:hAnsi="Times New Roman" w:cs="Times New Roman"/>
          <w:b/>
          <w:bCs/>
          <w:sz w:val="28"/>
          <w:szCs w:val="28"/>
        </w:rPr>
        <w:t>Гальбштадт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 xml:space="preserve"> — административный центр Немецкого </w:t>
      </w:r>
      <w:proofErr w:type="spellStart"/>
      <w:proofErr w:type="gramStart"/>
      <w:r w:rsidRPr="00B40C77">
        <w:rPr>
          <w:rFonts w:ascii="Times New Roman" w:hAnsi="Times New Roman" w:cs="Times New Roman"/>
          <w:sz w:val="28"/>
          <w:szCs w:val="28"/>
        </w:rPr>
        <w:t>национальног</w:t>
      </w:r>
      <w:proofErr w:type="spellEnd"/>
      <w:r w:rsidRPr="00B40C77">
        <w:t xml:space="preserve"> </w:t>
      </w:r>
      <w:r w:rsidRPr="00B40C7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B40C77">
        <w:rPr>
          <w:rFonts w:ascii="Times New Roman" w:hAnsi="Times New Roman" w:cs="Times New Roman"/>
          <w:sz w:val="28"/>
          <w:szCs w:val="28"/>
        </w:rPr>
        <w:t xml:space="preserve"> района. Название переводится с немецкого как «</w:t>
      </w:r>
      <w:proofErr w:type="spellStart"/>
      <w:r w:rsidRPr="00B40C77">
        <w:rPr>
          <w:rFonts w:ascii="Times New Roman" w:hAnsi="Times New Roman" w:cs="Times New Roman"/>
          <w:sz w:val="28"/>
          <w:szCs w:val="28"/>
        </w:rPr>
        <w:t>полугород</w:t>
      </w:r>
      <w:proofErr w:type="spellEnd"/>
      <w:r w:rsidRPr="00B40C77">
        <w:rPr>
          <w:rFonts w:ascii="Times New Roman" w:hAnsi="Times New Roman" w:cs="Times New Roman"/>
          <w:sz w:val="28"/>
          <w:szCs w:val="28"/>
        </w:rPr>
        <w:t>». Здесь сосредоточены ключевые точки сохранения культуры: музеи, центры немецкой культуры, фольклорные коллективы. </w:t>
      </w: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0C77" w:rsidRP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0C77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73B24D9A" wp14:editId="1A57F64C">
            <wp:simplePos x="0" y="0"/>
            <wp:positionH relativeFrom="column">
              <wp:posOffset>1991483</wp:posOffset>
            </wp:positionH>
            <wp:positionV relativeFrom="paragraph">
              <wp:posOffset>282595</wp:posOffset>
            </wp:positionV>
            <wp:extent cx="4363720" cy="2912745"/>
            <wp:effectExtent l="0" t="0" r="0" b="1905"/>
            <wp:wrapTight wrapText="bothSides">
              <wp:wrapPolygon edited="0">
                <wp:start x="0" y="0"/>
                <wp:lineTo x="0" y="21473"/>
                <wp:lineTo x="21499" y="21473"/>
                <wp:lineTo x="21499" y="0"/>
                <wp:lineTo x="0" y="0"/>
              </wp:wrapPolygon>
            </wp:wrapTight>
            <wp:docPr id="2" name="Рисунок 2" descr="Кто в тереме живет? - Московская Немецкая Газ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то в тереме живет? - Московская Немецкая Газет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72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C77">
        <w:rPr>
          <w:rFonts w:ascii="Times New Roman" w:hAnsi="Times New Roman" w:cs="Times New Roman"/>
          <w:b/>
          <w:bCs/>
          <w:sz w:val="28"/>
          <w:szCs w:val="28"/>
        </w:rPr>
        <w:t>Центр немецкой культуры в Барнауле</w:t>
      </w:r>
      <w:r w:rsidRPr="00B40C77">
        <w:rPr>
          <w:rFonts w:ascii="Times New Roman" w:hAnsi="Times New Roman" w:cs="Times New Roman"/>
          <w:sz w:val="28"/>
          <w:szCs w:val="28"/>
        </w:rPr>
        <w:t> (ул. Гоголя, 44) — структурное подразделение Дома народов Алтайского края. Его задача — поддерживать изучение языка, обычаев и истории местных общин: здесь организуют праздники, работают клубы и реализуются этнографические проекты. </w:t>
      </w:r>
    </w:p>
    <w:p w:rsidR="002F25EC" w:rsidRDefault="002F25EC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0C77">
        <w:rPr>
          <w:rFonts w:ascii="Times New Roman" w:hAnsi="Times New Roman" w:cs="Times New Roman"/>
          <w:sz w:val="28"/>
          <w:szCs w:val="28"/>
        </w:rPr>
        <w:t>У российских немцев Алтайского края сложилась своя особенная кухня — в ней немецкие традиции переплелись с тем, что было под рукой в сибирских условиях, и с блюдами соседних народов. </w:t>
      </w: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0C7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2671668" wp14:editId="47D34083">
            <wp:simplePos x="0" y="0"/>
            <wp:positionH relativeFrom="margin">
              <wp:posOffset>1633547</wp:posOffset>
            </wp:positionH>
            <wp:positionV relativeFrom="paragraph">
              <wp:posOffset>45986</wp:posOffset>
            </wp:positionV>
            <wp:extent cx="4166235" cy="2543810"/>
            <wp:effectExtent l="0" t="0" r="5715" b="8890"/>
            <wp:wrapTight wrapText="bothSides">
              <wp:wrapPolygon edited="0">
                <wp:start x="0" y="0"/>
                <wp:lineTo x="0" y="21514"/>
                <wp:lineTo x="21531" y="21514"/>
                <wp:lineTo x="21531" y="0"/>
                <wp:lineTo x="0" y="0"/>
              </wp:wrapPolygon>
            </wp:wrapTight>
            <wp:docPr id="4" name="Рисунок 4" descr="https://avatars.mds.yandex.net/i?id=965b3cceede7ff1c2fb2e9fdd73d6701_l-701392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965b3cceede7ff1c2fb2e9fdd73d6701_l-7013926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" r="4038"/>
                    <a:stretch/>
                  </pic:blipFill>
                  <pic:spPr bwMode="auto">
                    <a:xfrm>
                      <a:off x="0" y="0"/>
                      <a:ext cx="4166235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40C77">
        <w:rPr>
          <w:rFonts w:ascii="Times New Roman" w:hAnsi="Times New Roman" w:cs="Times New Roman"/>
          <w:b/>
          <w:bCs/>
          <w:sz w:val="28"/>
          <w:szCs w:val="28"/>
        </w:rPr>
        <w:t>Кребли</w:t>
      </w:r>
      <w:proofErr w:type="spellEnd"/>
      <w:r w:rsidRPr="00B40C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40C77">
        <w:rPr>
          <w:rFonts w:ascii="Times New Roman" w:hAnsi="Times New Roman" w:cs="Times New Roman"/>
          <w:sz w:val="28"/>
          <w:szCs w:val="28"/>
        </w:rPr>
        <w:t> Это пышные изделия из теста, которые обжаривают во фритюре. По форме они напоминают хворост, но получаются мягкими и воздушными внутри. </w:t>
      </w: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ED3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2B40C615" wp14:editId="6EFBD989">
            <wp:simplePos x="0" y="0"/>
            <wp:positionH relativeFrom="column">
              <wp:posOffset>1744345</wp:posOffset>
            </wp:positionH>
            <wp:positionV relativeFrom="paragraph">
              <wp:posOffset>1320862</wp:posOffset>
            </wp:positionV>
            <wp:extent cx="4462145" cy="2536190"/>
            <wp:effectExtent l="0" t="0" r="0" b="0"/>
            <wp:wrapTight wrapText="bothSides">
              <wp:wrapPolygon edited="0">
                <wp:start x="0" y="0"/>
                <wp:lineTo x="0" y="21416"/>
                <wp:lineTo x="21486" y="21416"/>
                <wp:lineTo x="21486" y="0"/>
                <wp:lineTo x="0" y="0"/>
              </wp:wrapPolygon>
            </wp:wrapTight>
            <wp:docPr id="5" name="Рисунок 5" descr="https://avatars.mds.yandex.net/i?id=debb68ae072e4b5a068ebd8eb69992f3_sr-542739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i?id=debb68ae072e4b5a068ebd8eb69992f3_sr-5427399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81" b="11612"/>
                    <a:stretch/>
                  </pic:blipFill>
                  <pic:spPr bwMode="auto">
                    <a:xfrm>
                      <a:off x="0" y="0"/>
                      <a:ext cx="446214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40C77" w:rsidRPr="00B40C77">
        <w:rPr>
          <w:rFonts w:ascii="Times New Roman" w:hAnsi="Times New Roman" w:cs="Times New Roman"/>
          <w:b/>
          <w:bCs/>
          <w:sz w:val="28"/>
          <w:szCs w:val="28"/>
        </w:rPr>
        <w:t>Нудльзуп</w:t>
      </w:r>
      <w:proofErr w:type="spellEnd"/>
      <w:r w:rsidR="00B40C77" w:rsidRPr="00B40C77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B40C77" w:rsidRPr="00B40C77">
        <w:rPr>
          <w:rFonts w:ascii="Times New Roman" w:hAnsi="Times New Roman" w:cs="Times New Roman"/>
          <w:b/>
          <w:bCs/>
          <w:sz w:val="28"/>
          <w:szCs w:val="28"/>
        </w:rPr>
        <w:t>Nudelsupp</w:t>
      </w:r>
      <w:proofErr w:type="spellEnd"/>
      <w:r w:rsidR="00B40C77" w:rsidRPr="00B40C77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="00B40C77" w:rsidRPr="00B40C77">
        <w:rPr>
          <w:rFonts w:ascii="Times New Roman" w:hAnsi="Times New Roman" w:cs="Times New Roman"/>
          <w:sz w:val="28"/>
          <w:szCs w:val="28"/>
        </w:rPr>
        <w:t xml:space="preserve"> Это традиционный куриный суп с домашней лапшой. Ключевая особенность именно в лапше: её делают вручную — тонко раскатывают тесто (часто с яйцами и небольшим количеством воды или масла), сушат, а затем шинкуют тонкой соломкой. Для нарезки даже использовали специальную доску — </w:t>
      </w:r>
      <w:proofErr w:type="spellStart"/>
      <w:r w:rsidR="00B40C77" w:rsidRPr="00B40C77">
        <w:rPr>
          <w:rFonts w:ascii="Times New Roman" w:hAnsi="Times New Roman" w:cs="Times New Roman"/>
          <w:sz w:val="28"/>
          <w:szCs w:val="28"/>
        </w:rPr>
        <w:t>нудельклецце</w:t>
      </w:r>
      <w:proofErr w:type="spellEnd"/>
      <w:r w:rsidR="00B40C77" w:rsidRPr="00B40C77">
        <w:rPr>
          <w:rFonts w:ascii="Times New Roman" w:hAnsi="Times New Roman" w:cs="Times New Roman"/>
          <w:sz w:val="28"/>
          <w:szCs w:val="28"/>
        </w:rPr>
        <w:t xml:space="preserve">. Суп варят на крепком курином бульоне, добавляют лук, морковь, специи, а в конце — домашнюю лапшу. Интересно, что </w:t>
      </w:r>
      <w:proofErr w:type="spellStart"/>
      <w:r w:rsidR="00B40C77" w:rsidRPr="00B40C77">
        <w:rPr>
          <w:rFonts w:ascii="Times New Roman" w:hAnsi="Times New Roman" w:cs="Times New Roman"/>
          <w:sz w:val="28"/>
          <w:szCs w:val="28"/>
        </w:rPr>
        <w:t>нудльзуп</w:t>
      </w:r>
      <w:proofErr w:type="spellEnd"/>
      <w:r w:rsidR="00B40C77" w:rsidRPr="00B40C77">
        <w:rPr>
          <w:rFonts w:ascii="Times New Roman" w:hAnsi="Times New Roman" w:cs="Times New Roman"/>
          <w:sz w:val="28"/>
          <w:szCs w:val="28"/>
        </w:rPr>
        <w:t xml:space="preserve"> был не только повседневным блюдом, но и частью свадебного обряда: третий день свадьбы («</w:t>
      </w:r>
      <w:proofErr w:type="spellStart"/>
      <w:r w:rsidR="00B40C77" w:rsidRPr="00B40C77">
        <w:rPr>
          <w:rFonts w:ascii="Times New Roman" w:hAnsi="Times New Roman" w:cs="Times New Roman"/>
          <w:sz w:val="28"/>
          <w:szCs w:val="28"/>
        </w:rPr>
        <w:t>Шванце</w:t>
      </w:r>
      <w:proofErr w:type="spellEnd"/>
      <w:r w:rsidR="00B40C77" w:rsidRPr="00B40C77">
        <w:rPr>
          <w:rFonts w:ascii="Times New Roman" w:hAnsi="Times New Roman" w:cs="Times New Roman"/>
          <w:sz w:val="28"/>
          <w:szCs w:val="28"/>
        </w:rPr>
        <w:t>») завершался подачей этого супа. </w:t>
      </w:r>
    </w:p>
    <w:p w:rsidR="00B40C77" w:rsidRDefault="00B40C77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ED3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897FC95" wp14:editId="39C1A12B">
            <wp:simplePos x="0" y="0"/>
            <wp:positionH relativeFrom="column">
              <wp:posOffset>-615950</wp:posOffset>
            </wp:positionH>
            <wp:positionV relativeFrom="paragraph">
              <wp:posOffset>114935</wp:posOffset>
            </wp:positionV>
            <wp:extent cx="4881245" cy="3447415"/>
            <wp:effectExtent l="0" t="0" r="0" b="635"/>
            <wp:wrapThrough wrapText="bothSides">
              <wp:wrapPolygon edited="0">
                <wp:start x="0" y="0"/>
                <wp:lineTo x="0" y="21485"/>
                <wp:lineTo x="21496" y="21485"/>
                <wp:lineTo x="21496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24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17ED3">
        <w:rPr>
          <w:rFonts w:ascii="Times New Roman" w:hAnsi="Times New Roman" w:cs="Times New Roman"/>
          <w:b/>
          <w:bCs/>
          <w:sz w:val="28"/>
          <w:szCs w:val="28"/>
        </w:rPr>
        <w:t>Штрудель</w:t>
      </w:r>
      <w:proofErr w:type="spellEnd"/>
      <w:r w:rsidRPr="00F17ED3">
        <w:rPr>
          <w:rFonts w:ascii="Times New Roman" w:hAnsi="Times New Roman" w:cs="Times New Roman"/>
          <w:b/>
          <w:bCs/>
          <w:sz w:val="28"/>
          <w:szCs w:val="28"/>
        </w:rPr>
        <w:t xml:space="preserve"> (в местном варианте — </w:t>
      </w:r>
      <w:proofErr w:type="spellStart"/>
      <w:r w:rsidRPr="00F17ED3">
        <w:rPr>
          <w:rFonts w:ascii="Times New Roman" w:hAnsi="Times New Roman" w:cs="Times New Roman"/>
          <w:b/>
          <w:bCs/>
          <w:sz w:val="28"/>
          <w:szCs w:val="28"/>
        </w:rPr>
        <w:t>штрудли</w:t>
      </w:r>
      <w:proofErr w:type="spellEnd"/>
      <w:r w:rsidRPr="00F17ED3">
        <w:rPr>
          <w:rFonts w:ascii="Times New Roman" w:hAnsi="Times New Roman" w:cs="Times New Roman"/>
          <w:b/>
          <w:bCs/>
          <w:sz w:val="28"/>
          <w:szCs w:val="28"/>
        </w:rPr>
        <w:t>).</w:t>
      </w:r>
      <w:r w:rsidRPr="00F17ED3">
        <w:rPr>
          <w:rFonts w:ascii="Times New Roman" w:hAnsi="Times New Roman" w:cs="Times New Roman"/>
          <w:sz w:val="28"/>
          <w:szCs w:val="28"/>
        </w:rPr>
        <w:t xml:space="preserve"> Здесь это не сладкая выпечка, а сытное второе блюдо. Суть в том, что небольшие </w:t>
      </w:r>
      <w:proofErr w:type="spellStart"/>
      <w:r w:rsidRPr="00F17ED3">
        <w:rPr>
          <w:rFonts w:ascii="Times New Roman" w:hAnsi="Times New Roman" w:cs="Times New Roman"/>
          <w:sz w:val="28"/>
          <w:szCs w:val="28"/>
        </w:rPr>
        <w:t>рулетики</w:t>
      </w:r>
      <w:proofErr w:type="spellEnd"/>
      <w:r w:rsidRPr="00F17ED3">
        <w:rPr>
          <w:rFonts w:ascii="Times New Roman" w:hAnsi="Times New Roman" w:cs="Times New Roman"/>
          <w:sz w:val="28"/>
          <w:szCs w:val="28"/>
        </w:rPr>
        <w:t xml:space="preserve"> из пресного теста (иногда с зеленью) томятся на пару над мясным рагу с картофелем. В результате получается блюдо «два-в-одном»: нежное мясо с овощами и воздушные паровые </w:t>
      </w:r>
      <w:proofErr w:type="spellStart"/>
      <w:r w:rsidRPr="00F17ED3">
        <w:rPr>
          <w:rFonts w:ascii="Times New Roman" w:hAnsi="Times New Roman" w:cs="Times New Roman"/>
          <w:sz w:val="28"/>
          <w:szCs w:val="28"/>
        </w:rPr>
        <w:t>рулетики</w:t>
      </w:r>
      <w:proofErr w:type="spellEnd"/>
      <w:r w:rsidRPr="00F17ED3">
        <w:rPr>
          <w:rFonts w:ascii="Times New Roman" w:hAnsi="Times New Roman" w:cs="Times New Roman"/>
          <w:sz w:val="28"/>
          <w:szCs w:val="28"/>
        </w:rPr>
        <w:t>, которые пропитываются ароматами. В начинку для рагу могут добавлять квашеную капусту, морковь, лук. </w:t>
      </w: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17ED3" w:rsidRDefault="00F17ED3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ED3">
        <w:rPr>
          <w:rFonts w:ascii="Times New Roman" w:hAnsi="Times New Roman" w:cs="Times New Roman"/>
          <w:sz w:val="28"/>
          <w:szCs w:val="28"/>
        </w:rPr>
        <w:lastRenderedPageBreak/>
        <w:t>В кухне российских немцев сильна традиция мясных блюд. Например, готовят рёбрышки, жаренные в свином жиру (</w:t>
      </w:r>
      <w:proofErr w:type="spellStart"/>
      <w:r w:rsidRPr="00F17ED3">
        <w:rPr>
          <w:rFonts w:ascii="Times New Roman" w:hAnsi="Times New Roman" w:cs="Times New Roman"/>
          <w:sz w:val="28"/>
          <w:szCs w:val="28"/>
        </w:rPr>
        <w:t>Rebschphe</w:t>
      </w:r>
      <w:proofErr w:type="spellEnd"/>
      <w:r w:rsidRPr="00F17ED3">
        <w:rPr>
          <w:rFonts w:ascii="Times New Roman" w:hAnsi="Times New Roman" w:cs="Times New Roman"/>
          <w:sz w:val="28"/>
          <w:szCs w:val="28"/>
        </w:rPr>
        <w:t>). Также исторически важны колбасные изделия — в Алтайском крае работают предприятия (например, «</w:t>
      </w:r>
      <w:proofErr w:type="spellStart"/>
      <w:r w:rsidRPr="00F17ED3">
        <w:rPr>
          <w:rFonts w:ascii="Times New Roman" w:hAnsi="Times New Roman" w:cs="Times New Roman"/>
          <w:sz w:val="28"/>
          <w:szCs w:val="28"/>
        </w:rPr>
        <w:t>Брюкке</w:t>
      </w:r>
      <w:proofErr w:type="spellEnd"/>
      <w:r w:rsidRPr="00F17ED3">
        <w:rPr>
          <w:rFonts w:ascii="Times New Roman" w:hAnsi="Times New Roman" w:cs="Times New Roman"/>
          <w:sz w:val="28"/>
          <w:szCs w:val="28"/>
        </w:rPr>
        <w:t>»), которые выпускают колбасы и сардельки по традиционным рецептам.</w:t>
      </w:r>
    </w:p>
    <w:p w:rsidR="00F17ED3" w:rsidRPr="00B40C77" w:rsidRDefault="00F17ED3" w:rsidP="00B40C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E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572000" cy="3045460"/>
            <wp:effectExtent l="0" t="0" r="0" b="2540"/>
            <wp:docPr id="7" name="Рисунок 7" descr="Каталог Черевы бараньи 18/20 (91м) от магазина Биостар-Кулин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талог Черевы бараньи 18/20 (91м) от магазина Биостар-Кулина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7ED3" w:rsidRPr="00B40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77"/>
    <w:rsid w:val="002F25EC"/>
    <w:rsid w:val="00B40C77"/>
    <w:rsid w:val="00F1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20F3"/>
  <w15:chartTrackingRefBased/>
  <w15:docId w15:val="{06B11C7C-2228-4557-B170-ED9057DF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2026-09-10T01:31:00Z</dcterms:created>
  <dcterms:modified xsi:type="dcterms:W3CDTF">2026-09-10T01:47:00Z</dcterms:modified>
</cp:coreProperties>
</file>